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8C1" w14:textId="1D393238" w:rsidR="00A309AB" w:rsidRPr="00B257EE" w:rsidRDefault="00EB5FCF" w:rsidP="59A5D358">
      <w:pPr>
        <w:spacing w:before="100" w:beforeAutospacing="1" w:after="100" w:afterAutospacing="1" w:line="266" w:lineRule="atLeast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: </w:t>
      </w:r>
      <w:r w:rsidR="00943C2D">
        <w:rPr>
          <w:rFonts w:ascii="Invesco Interstate Bold" w:hAnsi="Invesco Interstate Bold"/>
          <w:b/>
          <w:bCs/>
          <w:sz w:val="24"/>
          <w:szCs w:val="24"/>
        </w:rPr>
        <w:t>Pandemie, válka a pevný výnos</w:t>
      </w:r>
    </w:p>
    <w:p w14:paraId="01793E0F" w14:textId="30D86541" w:rsidR="00943C2D" w:rsidRPr="000314AD" w:rsidRDefault="00943C2D" w:rsidP="00943C2D">
      <w:pPr>
        <w:shd w:val="clear" w:color="auto" w:fill="FFFFFF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943C2D">
        <w:rPr>
          <w:rFonts w:ascii="Invesco Interstate Light" w:hAnsi="Invesco Interstate Light"/>
          <w:b/>
          <w:bCs/>
          <w:sz w:val="22"/>
          <w:szCs w:val="22"/>
        </w:rPr>
        <w:t xml:space="preserve">Globální trhy opakovaně utrpěly různé rány. Po pandemii, obchodní válce, brexitu a velkým finančním krizím v USA a eurozóně je to nyní velký konflikt. </w:t>
      </w:r>
    </w:p>
    <w:p w14:paraId="29BCE06D" w14:textId="077E7863" w:rsidR="00943C2D" w:rsidRPr="00943C2D" w:rsidRDefault="00943C2D" w:rsidP="00943C2D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943C2D">
        <w:rPr>
          <w:rFonts w:ascii="Invesco Interstate Light" w:eastAsia="Times New Roman" w:hAnsi="Invesco Interstate Light"/>
          <w:sz w:val="22"/>
          <w:szCs w:val="22"/>
          <w:lang w:eastAsia="de-DE"/>
        </w:rPr>
        <w:t>Rusko-ukrajinská válka a odvetné sankce ohrožují klíčové dodávky energií, kovů a nerostných surovin pro velkou část regionu EMEA a Asie. To vše se odehrává v prostředí vysoké inflace, ultra nízkých úrokových sazeb a bohatě zhodnocených dluhopisů a akcií na klíčových trzích.</w:t>
      </w:r>
    </w:p>
    <w:p w14:paraId="0C087475" w14:textId="77777777" w:rsidR="000265C4" w:rsidRPr="000265C4" w:rsidRDefault="000265C4" w:rsidP="00EA7D84">
      <w:pPr>
        <w:shd w:val="clear" w:color="auto" w:fill="FFFFFF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265C4">
        <w:rPr>
          <w:rFonts w:ascii="Invesco Interstate Light" w:hAnsi="Invesco Interstate Light"/>
          <w:sz w:val="22"/>
          <w:szCs w:val="22"/>
        </w:rPr>
        <w:t>Ve světle těchto úvah je podle nás pro investory nejlepší zaujmout vyvážený postoj. Diverzifikované portfolio – včetně portfolia s pevným výnosem – by mohlo pomoci přečkat nejistotu lépe než přesun do hotovosti nebo zlata.</w:t>
      </w:r>
    </w:p>
    <w:p w14:paraId="0FCCAF5F" w14:textId="77777777" w:rsidR="000265C4" w:rsidRDefault="000265C4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1FAF4590" w14:textId="7E529636" w:rsidR="00A67F1B" w:rsidRDefault="00513F36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Jak </w:t>
      </w:r>
      <w:r w:rsidR="000265C4">
        <w:rPr>
          <w:rFonts w:ascii="Invesco Interstate Bold" w:hAnsi="Invesco Interstate Bold"/>
          <w:b/>
          <w:bCs/>
          <w:sz w:val="24"/>
          <w:szCs w:val="24"/>
        </w:rPr>
        <w:t>se můžeme vypořádat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r w:rsidR="000265C4">
        <w:rPr>
          <w:rFonts w:ascii="Invesco Interstate Bold" w:hAnsi="Invesco Interstate Bold"/>
          <w:b/>
          <w:bCs/>
          <w:sz w:val="24"/>
          <w:szCs w:val="24"/>
        </w:rPr>
        <w:t>s tržními otřesy</w:t>
      </w:r>
      <w:r>
        <w:rPr>
          <w:rFonts w:ascii="Invesco Interstate Bold" w:hAnsi="Invesco Interstate Bold"/>
          <w:b/>
          <w:bCs/>
          <w:sz w:val="24"/>
          <w:szCs w:val="24"/>
        </w:rPr>
        <w:t>?</w:t>
      </w:r>
    </w:p>
    <w:p w14:paraId="5FD2F1AF" w14:textId="3A646D4C" w:rsidR="000265C4" w:rsidRDefault="000265C4" w:rsidP="00EA7D84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265C4">
        <w:rPr>
          <w:rFonts w:ascii="Invesco Interstate Light" w:hAnsi="Invesco Interstate Light"/>
          <w:sz w:val="22"/>
          <w:szCs w:val="22"/>
        </w:rPr>
        <w:t>Lenin kdysi řekl</w:t>
      </w:r>
      <w:r w:rsidR="00477E03">
        <w:rPr>
          <w:rFonts w:ascii="Invesco Interstate Light" w:hAnsi="Invesco Interstate Light"/>
          <w:sz w:val="22"/>
          <w:szCs w:val="22"/>
        </w:rPr>
        <w:t>, j</w:t>
      </w:r>
      <w:r w:rsidRPr="00477E03">
        <w:rPr>
          <w:rFonts w:ascii="Invesco Interstate Light" w:hAnsi="Invesco Interstate Light"/>
          <w:sz w:val="22"/>
          <w:szCs w:val="22"/>
        </w:rPr>
        <w:t>sou desetiletí, kdy se nic neděje, a pak jsou týdny, kdy se dějí věci za celé desetiletí.</w:t>
      </w:r>
      <w:r w:rsidRPr="000265C4">
        <w:rPr>
          <w:rFonts w:ascii="Invesco Interstate Light" w:hAnsi="Invesco Interstate Light"/>
          <w:sz w:val="22"/>
          <w:szCs w:val="22"/>
        </w:rPr>
        <w:t xml:space="preserve"> My žijeme v desetiletí velkých otřesů, a právě prožíváme týdny, které již byly víc rušné než celý život většiny lidí.</w:t>
      </w:r>
    </w:p>
    <w:p w14:paraId="154F3483" w14:textId="77777777" w:rsidR="000265C4" w:rsidRPr="000265C4" w:rsidRDefault="000265C4" w:rsidP="00EA7D84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265C4">
        <w:rPr>
          <w:rFonts w:ascii="Invesco Interstate Light" w:hAnsi="Invesco Interstate Light"/>
          <w:sz w:val="22"/>
          <w:szCs w:val="22"/>
        </w:rPr>
        <w:t>Globální ekonomika a trhy, dokonce celý mezinárodní systém, jsou pod tlakem. Právě ve chvíli, kdy se svět začal vzpamatovávat z nejvážnější pandemie za posledních sto let, přichází největší a nejrozvratnější válka v srdci Evropy od druhé světové války. Humanitární tragédie, pro kterou nejsou slova, způsobuje ztráty na životech a majetku, které nelze překonat. Náprava vedlejších škod na ukrajinské a ruské ekonomice a následných dopadů na zbytek světa bude trvat dlouho.</w:t>
      </w:r>
    </w:p>
    <w:p w14:paraId="3E78CC1A" w14:textId="613867CA" w:rsidR="00EA7D84" w:rsidRPr="00EA7D84" w:rsidRDefault="00EA7D84" w:rsidP="00EA7D84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EA7D84">
        <w:rPr>
          <w:rFonts w:ascii="Invesco Interstate Light" w:hAnsi="Invesco Interstate Light"/>
          <w:sz w:val="22"/>
          <w:szCs w:val="22"/>
        </w:rPr>
        <w:t>Když invaze začala, značná část světové ekonomiky včetně USA, eurozóny (EZ), Spojeného království a mnoha rozvíjejících se trhů (EM) rychle rostla. Inflace však už byla přítomná a šířila se napříč mnoha zeměmi a každodenními položkami</w:t>
      </w:r>
      <w:r w:rsidR="00643FD9">
        <w:rPr>
          <w:rFonts w:ascii="Invesco Interstate Light" w:hAnsi="Invesco Interstate Light"/>
          <w:sz w:val="22"/>
          <w:szCs w:val="22"/>
        </w:rPr>
        <w:t xml:space="preserve"> nákupů</w:t>
      </w:r>
      <w:r w:rsidRPr="00EA7D84">
        <w:rPr>
          <w:rFonts w:ascii="Invesco Interstate Light" w:hAnsi="Invesco Interstate Light"/>
          <w:sz w:val="22"/>
          <w:szCs w:val="22"/>
        </w:rPr>
        <w:t>.</w:t>
      </w:r>
    </w:p>
    <w:p w14:paraId="65BB717D" w14:textId="2CEB71E7" w:rsidR="00DD6ADC" w:rsidRDefault="00EA7D84" w:rsidP="00643FD9">
      <w:pPr>
        <w:spacing w:after="15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EA7D84">
        <w:rPr>
          <w:rFonts w:ascii="Invesco Interstate Light" w:hAnsi="Invesco Interstate Light"/>
          <w:sz w:val="22"/>
          <w:szCs w:val="22"/>
        </w:rPr>
        <w:t xml:space="preserve">Hrozí, že válka a odvetná opatření sníží růst, ale zvýší inflaci. Důvodem je ukrajinský a ruský vývoz obilí, energie, kovů a nerostných surovin. </w:t>
      </w:r>
      <w:r w:rsidRPr="005E10FB">
        <w:rPr>
          <w:rFonts w:ascii="Invesco Interstate Light" w:hAnsi="Invesco Interstate Light"/>
          <w:i/>
          <w:iCs/>
          <w:sz w:val="22"/>
          <w:szCs w:val="22"/>
        </w:rPr>
        <w:t>„Jako občané, střadatelé a investoři tak čelíme směsici nepříjemných skutečností a nejistot, které nám ztěžují orientaci v ekonomice a trzích. Když se podíváme na dlouhodobé dopady pandemií a konfliktů na inflaci, růst a chování trhů, můžeme si odnést klíčový poznatek: V přetahování se mezi protichůdnými silami rostoucí inflace a zpomalujícího se růstu je klíčová rovnováha portfolia. To zahrnuje alokaci hotovosti, zlata a dluhopisů z důvodu bezpečnosti vedle rizikových aktiv,“</w:t>
      </w:r>
      <w:r w:rsidRPr="00EA7D84">
        <w:rPr>
          <w:rFonts w:ascii="Invesco Interstate Light" w:hAnsi="Invesco Interstate Light"/>
          <w:sz w:val="22"/>
          <w:szCs w:val="22"/>
        </w:rPr>
        <w:t xml:space="preserve"> vysvětluje </w:t>
      </w:r>
      <w:proofErr w:type="spellStart"/>
      <w:r w:rsidRPr="00EA7D84">
        <w:rPr>
          <w:rFonts w:ascii="Invesco Interstate Light" w:hAnsi="Invesco Interstate Light"/>
          <w:sz w:val="22"/>
          <w:szCs w:val="22"/>
        </w:rPr>
        <w:t>Arnab</w:t>
      </w:r>
      <w:proofErr w:type="spellEnd"/>
      <w:r w:rsidRPr="00EA7D8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EA7D84">
        <w:rPr>
          <w:rFonts w:ascii="Invesco Interstate Light" w:hAnsi="Invesco Interstate Light"/>
          <w:sz w:val="22"/>
          <w:szCs w:val="22"/>
        </w:rPr>
        <w:t>Das</w:t>
      </w:r>
      <w:proofErr w:type="spellEnd"/>
      <w:r w:rsidR="00643FD9">
        <w:rPr>
          <w:rFonts w:ascii="Invesco Interstate Light" w:hAnsi="Invesco Interstate Light"/>
          <w:sz w:val="22"/>
          <w:szCs w:val="22"/>
        </w:rPr>
        <w:t>,</w:t>
      </w:r>
      <w:r w:rsidRPr="00EA7D84">
        <w:rPr>
          <w:rFonts w:ascii="Invesco Interstate Light" w:hAnsi="Invesco Interstate Light"/>
          <w:sz w:val="22"/>
          <w:szCs w:val="22"/>
        </w:rPr>
        <w:t xml:space="preserve"> globální tržní stratég </w:t>
      </w:r>
      <w:proofErr w:type="spellStart"/>
      <w:r w:rsidRPr="00EA7D8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EA7D84">
        <w:rPr>
          <w:rFonts w:ascii="Invesco Interstate Light" w:hAnsi="Invesco Interstate Light"/>
          <w:sz w:val="22"/>
          <w:szCs w:val="22"/>
        </w:rPr>
        <w:t>.</w:t>
      </w:r>
      <w:r w:rsidR="00643FD9">
        <w:rPr>
          <w:rFonts w:ascii="Invesco Interstate Light" w:hAnsi="Invesco Interstate Light"/>
          <w:sz w:val="22"/>
          <w:szCs w:val="22"/>
        </w:rPr>
        <w:t xml:space="preserve"> </w:t>
      </w:r>
      <w:r w:rsidR="005E10FB" w:rsidRPr="005E10FB">
        <w:rPr>
          <w:rFonts w:ascii="Invesco Interstate Light" w:hAnsi="Invesco Interstate Light"/>
          <w:sz w:val="22"/>
          <w:szCs w:val="22"/>
        </w:rPr>
        <w:t>Krize nakonec pominou, jakmile se odolná světová ekonomika a finanční trhy znovu postaví na nohy.</w:t>
      </w:r>
    </w:p>
    <w:p w14:paraId="347F2E34" w14:textId="3B51EA0F" w:rsidR="00A67F1B" w:rsidRDefault="005E10FB" w:rsidP="00A67F1B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Pandemie = deflace, ale války = inflace v průběhu historie</w:t>
      </w:r>
    </w:p>
    <w:p w14:paraId="56A2BA33" w14:textId="40019B81" w:rsidR="005E10FB" w:rsidRDefault="005E10FB" w:rsidP="005E10FB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5E10FB">
        <w:rPr>
          <w:rFonts w:ascii="Invesco Interstate Light" w:hAnsi="Invesco Interstate Light"/>
          <w:sz w:val="22"/>
          <w:szCs w:val="22"/>
        </w:rPr>
        <w:t>Historie ukázala, že velké pandemie byly téměř vždy deflační a války inflační. Je to intuitivní, protože válečné vlády mobilizují celé společnosti a ekonomiky. Je to také proto, že lidé a výroba jsou povoláni do válečného úsilí a fyzický kapitál a výrobní kapacity jsou zničeny.</w:t>
      </w:r>
    </w:p>
    <w:p w14:paraId="18B78B1E" w14:textId="5F7D65BC" w:rsidR="005E10FB" w:rsidRDefault="005E10FB" w:rsidP="005E10FB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8B4CDB0" w14:textId="77777777" w:rsidR="00643FD9" w:rsidRPr="005E10FB" w:rsidRDefault="00643FD9" w:rsidP="005E10FB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9420B18" w14:textId="5460BCEA" w:rsidR="001C6667" w:rsidRDefault="005E10FB" w:rsidP="00125BB9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lastRenderedPageBreak/>
        <w:t>Obrázek 1: Války jsou již téměř tisíc let inflační a pandemie deflační</w:t>
      </w:r>
    </w:p>
    <w:p w14:paraId="1E3C2DA2" w14:textId="05AF646A" w:rsidR="005E10FB" w:rsidRDefault="005E10FB" w:rsidP="00125BB9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34ABF1B4" w14:textId="4E4E42E3" w:rsidR="005E10FB" w:rsidRDefault="005E10FB" w:rsidP="00125BB9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BA4BAA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55A6BC98" wp14:editId="789E06FB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EA1B" w14:textId="77777777" w:rsidR="000C6CF3" w:rsidRPr="000C6CF3" w:rsidRDefault="000C6CF3" w:rsidP="000C6CF3">
      <w:pPr>
        <w:spacing w:line="240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Poznámka: </w:t>
      </w:r>
      <w:r w:rsidRPr="000C6CF3">
        <w:rPr>
          <w:rFonts w:ascii="Invesco Interstate Light" w:hAnsi="Invesco Interstate Light"/>
        </w:rPr>
        <w:t xml:space="preserve">Údaje o inflaci ve Velké Británii z publikace A </w:t>
      </w:r>
      <w:proofErr w:type="spellStart"/>
      <w:r w:rsidRPr="000C6CF3">
        <w:rPr>
          <w:rFonts w:ascii="Invesco Interstate Light" w:hAnsi="Invesco Interstate Light"/>
        </w:rPr>
        <w:t>Millennium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Macroeconomic</w:t>
      </w:r>
      <w:proofErr w:type="spellEnd"/>
      <w:r w:rsidRPr="000C6CF3">
        <w:rPr>
          <w:rFonts w:ascii="Invesco Interstate Light" w:hAnsi="Invesco Interstate Light"/>
        </w:rPr>
        <w:t xml:space="preserve"> Data, kterou v roce 2018 vydala Bank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England</w:t>
      </w:r>
      <w:proofErr w:type="spellEnd"/>
      <w:r w:rsidRPr="000C6CF3">
        <w:rPr>
          <w:rFonts w:ascii="Invesco Interstate Light" w:hAnsi="Invesco Interstate Light"/>
        </w:rPr>
        <w:t xml:space="preserve">. Vybrané pandemie a války, o nichž se předpokládá, že ovlivnily ekonomiku Velké Británie. Například první epidemie cholery v roce 1817 se do Velké Británie zřejmě nedostala z Kalkaty, kde se předpokládá její počátek, ale ovlivnila celosvětový obchod a růst; Kalkata tehdy patřila mezi největší přístavy a obchodní města na světě. </w:t>
      </w:r>
    </w:p>
    <w:p w14:paraId="10D6816D" w14:textId="4FF7F30F" w:rsidR="000C6CF3" w:rsidRPr="000C6CF3" w:rsidRDefault="000C6CF3" w:rsidP="000C6CF3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Zdroj: </w:t>
      </w:r>
      <w:proofErr w:type="spellStart"/>
      <w:r w:rsidRPr="000C6CF3">
        <w:rPr>
          <w:rFonts w:ascii="Invesco Interstate Light" w:hAnsi="Invesco Interstate Light"/>
        </w:rPr>
        <w:t>Invesco</w:t>
      </w:r>
      <w:proofErr w:type="spellEnd"/>
      <w:r w:rsidRPr="000C6CF3">
        <w:rPr>
          <w:rFonts w:ascii="Invesco Interstate Light" w:hAnsi="Invesco Interstate Light"/>
        </w:rPr>
        <w:t xml:space="preserve">, rozšířeno o války, upraveno o pandemie podle Silvany </w:t>
      </w:r>
      <w:proofErr w:type="spellStart"/>
      <w:r w:rsidRPr="000C6CF3">
        <w:rPr>
          <w:rFonts w:ascii="Invesco Interstate Light" w:hAnsi="Invesco Interstate Light"/>
        </w:rPr>
        <w:t>Tenreyro</w:t>
      </w:r>
      <w:proofErr w:type="spellEnd"/>
      <w:r w:rsidRPr="000C6CF3">
        <w:rPr>
          <w:rFonts w:ascii="Invesco Interstate Light" w:hAnsi="Invesco Interstate Light"/>
        </w:rPr>
        <w:t xml:space="preserve">, projev: Bank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England</w:t>
      </w:r>
      <w:proofErr w:type="spellEnd"/>
      <w:r w:rsidRPr="000C6CF3">
        <w:rPr>
          <w:rFonts w:ascii="Invesco Interstate Light" w:hAnsi="Invesco Interstate Light"/>
        </w:rPr>
        <w:t xml:space="preserve"> COVID-19 and </w:t>
      </w:r>
      <w:proofErr w:type="spellStart"/>
      <w:r w:rsidRPr="000C6CF3">
        <w:rPr>
          <w:rFonts w:ascii="Invesco Interstate Light" w:hAnsi="Invesco Interstate Light"/>
        </w:rPr>
        <w:t>the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Economy</w:t>
      </w:r>
      <w:proofErr w:type="spellEnd"/>
      <w:r w:rsidRPr="000C6CF3">
        <w:rPr>
          <w:rFonts w:ascii="Invesco Interstate Light" w:hAnsi="Invesco Interstate Light"/>
        </w:rPr>
        <w:t xml:space="preserve">, na London </w:t>
      </w:r>
      <w:proofErr w:type="spellStart"/>
      <w:r w:rsidRPr="000C6CF3">
        <w:rPr>
          <w:rFonts w:ascii="Invesco Interstate Light" w:hAnsi="Invesco Interstate Light"/>
        </w:rPr>
        <w:t>School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Economics</w:t>
      </w:r>
      <w:proofErr w:type="spellEnd"/>
      <w:r w:rsidRPr="000C6CF3">
        <w:rPr>
          <w:rFonts w:ascii="Invesco Interstate Light" w:hAnsi="Invesco Interstate Light"/>
        </w:rPr>
        <w:t xml:space="preserve">, červenec 2020; A </w:t>
      </w:r>
      <w:proofErr w:type="spellStart"/>
      <w:r w:rsidRPr="000C6CF3">
        <w:rPr>
          <w:rFonts w:ascii="Invesco Interstate Light" w:hAnsi="Invesco Interstate Light"/>
        </w:rPr>
        <w:t>Millennium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Macroeconomic</w:t>
      </w:r>
      <w:proofErr w:type="spellEnd"/>
      <w:r w:rsidRPr="000C6CF3">
        <w:rPr>
          <w:rFonts w:ascii="Invesco Interstate Light" w:hAnsi="Invesco Interstate Light"/>
        </w:rPr>
        <w:t xml:space="preserve"> Data – </w:t>
      </w:r>
      <w:proofErr w:type="spellStart"/>
      <w:r w:rsidRPr="000C6CF3">
        <w:rPr>
          <w:rFonts w:ascii="Invesco Interstate Light" w:hAnsi="Invesco Interstate Light"/>
        </w:rPr>
        <w:t>the</w:t>
      </w:r>
      <w:proofErr w:type="spellEnd"/>
      <w:r w:rsidRPr="000C6CF3">
        <w:rPr>
          <w:rFonts w:ascii="Invesco Interstate Light" w:hAnsi="Invesco Interstate Light"/>
        </w:rPr>
        <w:t xml:space="preserve"> Bank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England</w:t>
      </w:r>
      <w:proofErr w:type="spellEnd"/>
      <w:r w:rsidRPr="000C6CF3">
        <w:rPr>
          <w:rFonts w:ascii="Invesco Interstate Light" w:hAnsi="Invesco Interstate Light"/>
        </w:rPr>
        <w:t xml:space="preserve">, FRED, </w:t>
      </w:r>
      <w:proofErr w:type="spellStart"/>
      <w:r w:rsidRPr="000C6CF3">
        <w:rPr>
          <w:rFonts w:ascii="Invesco Interstate Light" w:hAnsi="Invesco Interstate Light"/>
        </w:rPr>
        <w:t>Macrobond</w:t>
      </w:r>
      <w:proofErr w:type="spellEnd"/>
      <w:r w:rsidRPr="000C6CF3">
        <w:rPr>
          <w:rFonts w:ascii="Invesco Interstate Light" w:hAnsi="Invesco Interstate Light"/>
        </w:rPr>
        <w:t xml:space="preserve">, </w:t>
      </w:r>
      <w:proofErr w:type="spellStart"/>
      <w:r w:rsidRPr="000C6CF3">
        <w:rPr>
          <w:rFonts w:ascii="Invesco Interstate Light" w:hAnsi="Invesco Interstate Light"/>
        </w:rPr>
        <w:t>Invesco</w:t>
      </w:r>
      <w:proofErr w:type="spellEnd"/>
      <w:r w:rsidRPr="000C6CF3">
        <w:rPr>
          <w:rFonts w:ascii="Invesco Interstate Light" w:hAnsi="Invesco Interstate Light"/>
        </w:rPr>
        <w:t>. Data do roku 2016 stažena 30. listopadu 2021.</w:t>
      </w:r>
    </w:p>
    <w:p w14:paraId="6ACBD069" w14:textId="0E66C573" w:rsidR="000C6CF3" w:rsidRPr="000C6CF3" w:rsidRDefault="000C6CF3" w:rsidP="000C6CF3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C6CF3">
        <w:rPr>
          <w:rFonts w:ascii="Invesco Interstate Light" w:hAnsi="Invesco Interstate Light"/>
          <w:sz w:val="22"/>
          <w:szCs w:val="22"/>
        </w:rPr>
        <w:t>Měny jsou často znehodnocovány, protože se tisknou peníze na financování válečného úsilí. Jsou vydávány válečné dluhopisy, které jsou střadatel</w:t>
      </w:r>
      <w:r>
        <w:rPr>
          <w:rFonts w:ascii="Invesco Interstate Light" w:hAnsi="Invesco Interstate Light"/>
          <w:sz w:val="22"/>
          <w:szCs w:val="22"/>
        </w:rPr>
        <w:t>é</w:t>
      </w:r>
      <w:r w:rsidRPr="000C6CF3">
        <w:rPr>
          <w:rFonts w:ascii="Invesco Interstate Light" w:hAnsi="Invesco Interstate Light"/>
          <w:sz w:val="22"/>
          <w:szCs w:val="22"/>
        </w:rPr>
        <w:t xml:space="preserve"> a finanční instituce vybízeni nebo povinni kupovat za nižší než tržní úrokové sazby. Války jsou proto inflační jak z měnového hlediska, tak z hlediska tlaku na reálné zdroje.</w:t>
      </w:r>
    </w:p>
    <w:p w14:paraId="3FF230D1" w14:textId="77777777" w:rsidR="00E53AE5" w:rsidRPr="00E53AE5" w:rsidRDefault="00E53AE5" w:rsidP="00E53AE5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E53AE5">
        <w:rPr>
          <w:rFonts w:ascii="Invesco Interstate Light" w:hAnsi="Invesco Interstate Light"/>
          <w:sz w:val="22"/>
          <w:szCs w:val="22"/>
        </w:rPr>
        <w:t>Pandemie jsou deflační. Od dob morových epidemií se společnost v reakci na epidemie nových nemocí uzavírá. Uzavřením se demobilizuje ekonomika – což je téměř přesný opak války.</w:t>
      </w:r>
    </w:p>
    <w:p w14:paraId="353915A3" w14:textId="77777777" w:rsidR="00E53AE5" w:rsidRPr="00E53AE5" w:rsidRDefault="00E53AE5" w:rsidP="00E53AE5">
      <w:pPr>
        <w:spacing w:before="100" w:beforeAutospacing="1" w:after="100" w:afterAutospacing="1" w:line="240" w:lineRule="auto"/>
        <w:rPr>
          <w:rFonts w:ascii="Invesco Interstate Light" w:hAnsi="Invesco Interstate Light"/>
          <w:sz w:val="22"/>
          <w:szCs w:val="22"/>
        </w:rPr>
      </w:pPr>
      <w:r w:rsidRPr="00E53AE5">
        <w:rPr>
          <w:rFonts w:ascii="Invesco Interstate Light" w:hAnsi="Invesco Interstate Light"/>
          <w:sz w:val="22"/>
          <w:szCs w:val="22"/>
        </w:rPr>
        <w:t>Poptávka je zničena nebo pozastavena, nikoli však nabídka. Minulé pandemie často zabily velké skupiny lidí, což je srovnatelné s velkými válkami, a snížily tak spotřebitelskou poptávku (a pracovní sílu). Fyzická výrobní kapacita však obvykle zůstala nedotčena, takže čistý efekt byl spíše deflační.</w:t>
      </w:r>
    </w:p>
    <w:p w14:paraId="3E7BAA53" w14:textId="2D15887E" w:rsidR="001C6667" w:rsidRPr="00E53AE5" w:rsidRDefault="00E53AE5" w:rsidP="00FC380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Historické pandemie a války urychlovaly hospodářské cykly</w:t>
      </w:r>
    </w:p>
    <w:p w14:paraId="2BCFB552" w14:textId="77777777" w:rsidR="00E53AE5" w:rsidRPr="00E53AE5" w:rsidRDefault="00E53AE5" w:rsidP="00E53AE5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E53AE5">
        <w:rPr>
          <w:rFonts w:ascii="Invesco Interstate Light" w:hAnsi="Invesco Interstate Light"/>
          <w:sz w:val="22"/>
          <w:szCs w:val="22"/>
        </w:rPr>
        <w:t xml:space="preserve">Růst a inflace se obvykle pohybují stejným směrem. Soukromá poptávka a veřejná politika – jak měnová politika centrální banky, tak rozpočtová politika – jsou v souladu. Historicky měly pandemie nebo války na trhy podobný dopad jako běžné vzestupy a poklesy. Jejich účinky však byly výraznější, jako by byl hospodářský cyklus na steroidech. Vliv válek a pandemií na úrokové sazby – a tedy i na dluhopisy – je opačný. Vysoká </w:t>
      </w:r>
      <w:r w:rsidRPr="00E53AE5">
        <w:rPr>
          <w:rFonts w:ascii="Invesco Interstate Light" w:hAnsi="Invesco Interstate Light"/>
          <w:sz w:val="22"/>
          <w:szCs w:val="22"/>
        </w:rPr>
        <w:lastRenderedPageBreak/>
        <w:t>inflace a tlak na reálné ekonomické zdroje obvykle vedly k růstu úrokových sazeb během válek i po nich. Reálné sazby však obvykle klesají.</w:t>
      </w:r>
    </w:p>
    <w:p w14:paraId="2E287F62" w14:textId="77777777" w:rsidR="00E53AE5" w:rsidRPr="00E53AE5" w:rsidRDefault="00E53AE5" w:rsidP="00E53AE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E53AE5">
        <w:rPr>
          <w:rFonts w:ascii="Invesco Interstate Light" w:hAnsi="Invesco Interstate Light"/>
          <w:sz w:val="22"/>
          <w:szCs w:val="22"/>
        </w:rPr>
        <w:t>Dopad válek a pandemií na trhy práce a mzdy je různorodější. Po pandemiích mzdy obvykle rostou, a to zejména proto, že pracovníci mají větší vyjednávací sílu. Vedení velkých válek často vedlo k nedostatku pracovních sil, ale práci potřebovali i vracející se vojáci.</w:t>
      </w:r>
    </w:p>
    <w:p w14:paraId="1E2D1F54" w14:textId="14DB55EB" w:rsidR="00751E4A" w:rsidRDefault="00751E4A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F1FC2BF" w14:textId="2A40A568" w:rsidR="006317A7" w:rsidRPr="006317A7" w:rsidRDefault="00E53AE5" w:rsidP="006317A7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Dodávkové šoky, války a revoluce u producentů </w:t>
      </w:r>
      <w:r w:rsidR="006317A7">
        <w:rPr>
          <w:rFonts w:ascii="Invesco Interstate Bold" w:hAnsi="Invesco Interstate Bold"/>
          <w:b/>
          <w:bCs/>
          <w:sz w:val="24"/>
          <w:szCs w:val="24"/>
        </w:rPr>
        <w:t xml:space="preserve">komodit způsobily </w:t>
      </w:r>
      <w:r w:rsidR="006317A7" w:rsidRPr="0030402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"</w:t>
      </w:r>
      <w:r w:rsidR="006317A7">
        <w:rPr>
          <w:rFonts w:ascii="Invesco Interstate Bold" w:hAnsi="Invesco Interstate Bold"/>
          <w:b/>
          <w:bCs/>
          <w:sz w:val="24"/>
          <w:szCs w:val="24"/>
        </w:rPr>
        <w:t>stagflaci</w:t>
      </w:r>
      <w:r w:rsidR="006317A7" w:rsidRPr="0030402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"</w:t>
      </w:r>
    </w:p>
    <w:p w14:paraId="2CF8D748" w14:textId="77777777" w:rsidR="006317A7" w:rsidRDefault="006317A7" w:rsidP="006317A7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3031AB9" w14:textId="02CBD985" w:rsidR="006317A7" w:rsidRDefault="006317A7" w:rsidP="006317A7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317A7">
        <w:rPr>
          <w:rFonts w:ascii="Invesco Interstate Light" w:hAnsi="Invesco Interstate Light"/>
          <w:sz w:val="22"/>
          <w:szCs w:val="22"/>
        </w:rPr>
        <w:t>V moderní době byly války a revoluce někdy doprovázeny velkými nabídkovými šoky. To bylo patrné zejména u klíčových komodit potřebných pro výrobu energie, jako je ropa, a přispívalo to k růstu inflace.</w:t>
      </w:r>
    </w:p>
    <w:p w14:paraId="61646256" w14:textId="631D5EB9" w:rsidR="006317A7" w:rsidRDefault="006317A7" w:rsidP="006317A7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57119778" w14:textId="77777777" w:rsidR="006317A7" w:rsidRPr="006317A7" w:rsidRDefault="006317A7" w:rsidP="006317A7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317A7">
        <w:rPr>
          <w:rFonts w:ascii="Invesco Interstate Light" w:hAnsi="Invesco Interstate Light"/>
          <w:sz w:val="22"/>
          <w:szCs w:val="22"/>
        </w:rPr>
        <w:t>Stagflace označuje vysokou a rostoucí inflaci navzdory klesajícímu nebo zápornému růstu. Pokud se války soustředily v zemích produkujících komodity, jako je dnešní rusko-ukrajinský konflikt, s omezeným přímým dopadem na země, které komodity dovážejí, byla často výsledkem "stagflace".</w:t>
      </w:r>
    </w:p>
    <w:p w14:paraId="78C7DC1C" w14:textId="77777777" w:rsidR="006317A7" w:rsidRPr="006317A7" w:rsidRDefault="006317A7" w:rsidP="006317A7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B2554A0" w14:textId="77777777" w:rsidR="006317A7" w:rsidRPr="006317A7" w:rsidRDefault="006317A7" w:rsidP="006317A7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317A7">
        <w:rPr>
          <w:rFonts w:ascii="Invesco Interstate Light" w:hAnsi="Invesco Interstate Light"/>
          <w:sz w:val="22"/>
          <w:szCs w:val="22"/>
        </w:rPr>
        <w:t xml:space="preserve">V případě nabídkových šoků, na rozdíl od běžných cyklů nebo historických válek a pandemií, směřovaly růst a inflace opačným směrem. </w:t>
      </w:r>
    </w:p>
    <w:p w14:paraId="49C63CA8" w14:textId="654ABE27" w:rsidR="00E67945" w:rsidRDefault="00E6794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03CD680C" w14:textId="12E630FB" w:rsidR="006317A7" w:rsidRPr="006317A7" w:rsidRDefault="006317A7" w:rsidP="006317A7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Obrázek 2: Silné nabídkové šoky mohou způsobit vážnou </w:t>
      </w:r>
      <w:r w:rsidRPr="0030402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"</w:t>
      </w:r>
      <w:r>
        <w:rPr>
          <w:rFonts w:ascii="Invesco Interstate Bold" w:hAnsi="Invesco Interstate Bold"/>
          <w:b/>
          <w:bCs/>
          <w:sz w:val="24"/>
          <w:szCs w:val="24"/>
        </w:rPr>
        <w:t>stagflaci</w:t>
      </w:r>
      <w:r w:rsidRPr="0030402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"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317A7">
        <w:rPr>
          <w:rFonts w:ascii="Invesco Interstate Light" w:hAnsi="Invesco Interstate Light"/>
          <w:b/>
          <w:bCs/>
          <w:sz w:val="22"/>
          <w:szCs w:val="22"/>
        </w:rPr>
        <w:t>–</w:t>
      </w:r>
      <w:r>
        <w:rPr>
          <w:rFonts w:ascii="Invesco Interstate Light" w:hAnsi="Invesco Interstate Light"/>
          <w:b/>
          <w:bCs/>
          <w:sz w:val="22"/>
          <w:szCs w:val="22"/>
        </w:rPr>
        <w:t xml:space="preserve"> </w:t>
      </w:r>
      <w:r w:rsidRPr="006317A7">
        <w:rPr>
          <w:rFonts w:ascii="Invesco Interstate Bold" w:hAnsi="Invesco Interstate Bold"/>
          <w:b/>
          <w:bCs/>
          <w:sz w:val="24"/>
          <w:szCs w:val="24"/>
        </w:rPr>
        <w:t>pokles růstu a stoupání inflace</w:t>
      </w:r>
    </w:p>
    <w:p w14:paraId="7F6DC4AB" w14:textId="61A6A8BC" w:rsidR="006317A7" w:rsidRDefault="006317A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1A41182" w14:textId="133F0DA2" w:rsidR="004E4C6D" w:rsidRDefault="004E4C6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BA4BAA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B911A70" wp14:editId="78AFF368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5E49" w14:textId="79A2898B" w:rsidR="004E4C6D" w:rsidRPr="000C6CF3" w:rsidRDefault="004E4C6D" w:rsidP="004E4C6D">
      <w:pPr>
        <w:spacing w:line="240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Poznámka: </w:t>
      </w:r>
      <w:r w:rsidRPr="000C6CF3">
        <w:rPr>
          <w:rFonts w:ascii="Invesco Interstate Light" w:hAnsi="Invesco Interstate Light"/>
        </w:rPr>
        <w:t xml:space="preserve">Údaje o inflaci ve Velké Británii z publikace A </w:t>
      </w:r>
      <w:proofErr w:type="spellStart"/>
      <w:r w:rsidRPr="000C6CF3">
        <w:rPr>
          <w:rFonts w:ascii="Invesco Interstate Light" w:hAnsi="Invesco Interstate Light"/>
        </w:rPr>
        <w:t>Millennium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Macroeconomic</w:t>
      </w:r>
      <w:proofErr w:type="spellEnd"/>
      <w:r w:rsidRPr="000C6CF3">
        <w:rPr>
          <w:rFonts w:ascii="Invesco Interstate Light" w:hAnsi="Invesco Interstate Light"/>
        </w:rPr>
        <w:t xml:space="preserve"> Data, kterou v roce 2018 vydala Bank </w:t>
      </w:r>
      <w:proofErr w:type="spellStart"/>
      <w:r w:rsidRPr="000C6CF3">
        <w:rPr>
          <w:rFonts w:ascii="Invesco Interstate Light" w:hAnsi="Invesco Interstate Light"/>
        </w:rPr>
        <w:t>of</w:t>
      </w:r>
      <w:proofErr w:type="spellEnd"/>
      <w:r w:rsidRPr="000C6CF3">
        <w:rPr>
          <w:rFonts w:ascii="Invesco Interstate Light" w:hAnsi="Invesco Interstate Light"/>
        </w:rPr>
        <w:t xml:space="preserve"> </w:t>
      </w:r>
      <w:proofErr w:type="spellStart"/>
      <w:r w:rsidRPr="000C6CF3">
        <w:rPr>
          <w:rFonts w:ascii="Invesco Interstate Light" w:hAnsi="Invesco Interstate Light"/>
        </w:rPr>
        <w:t>England</w:t>
      </w:r>
      <w:proofErr w:type="spellEnd"/>
      <w:r w:rsidRPr="000C6CF3">
        <w:rPr>
          <w:rFonts w:ascii="Invesco Interstate Light" w:hAnsi="Invesco Interstate Light"/>
        </w:rPr>
        <w:t xml:space="preserve">. </w:t>
      </w:r>
    </w:p>
    <w:p w14:paraId="7552789C" w14:textId="4690BD38" w:rsidR="004E4C6D" w:rsidRPr="004E4C6D" w:rsidRDefault="004E4C6D" w:rsidP="004E4C6D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Zdroj: </w:t>
      </w:r>
      <w:r w:rsidRPr="004E4C6D">
        <w:rPr>
          <w:rFonts w:ascii="Invesco Interstate Light" w:hAnsi="Invesco Interstate Light"/>
        </w:rPr>
        <w:t xml:space="preserve">Podle Silvany </w:t>
      </w:r>
      <w:proofErr w:type="spellStart"/>
      <w:r w:rsidRPr="004E4C6D">
        <w:rPr>
          <w:rFonts w:ascii="Invesco Interstate Light" w:hAnsi="Invesco Interstate Light"/>
        </w:rPr>
        <w:t>Tenreyro</w:t>
      </w:r>
      <w:proofErr w:type="spellEnd"/>
      <w:r w:rsidRPr="004E4C6D">
        <w:rPr>
          <w:rFonts w:ascii="Invesco Interstate Light" w:hAnsi="Invesco Interstate Light"/>
        </w:rPr>
        <w:t xml:space="preserve">, projev Bank </w:t>
      </w:r>
      <w:proofErr w:type="spellStart"/>
      <w:r w:rsidRPr="004E4C6D">
        <w:rPr>
          <w:rFonts w:ascii="Invesco Interstate Light" w:hAnsi="Invesco Interstate Light"/>
        </w:rPr>
        <w:t>of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England</w:t>
      </w:r>
      <w:proofErr w:type="spellEnd"/>
      <w:r w:rsidRPr="004E4C6D">
        <w:rPr>
          <w:rFonts w:ascii="Invesco Interstate Light" w:hAnsi="Invesco Interstate Light"/>
        </w:rPr>
        <w:t xml:space="preserve"> COVID-19 and </w:t>
      </w:r>
      <w:proofErr w:type="spellStart"/>
      <w:r w:rsidRPr="004E4C6D">
        <w:rPr>
          <w:rFonts w:ascii="Invesco Interstate Light" w:hAnsi="Invesco Interstate Light"/>
        </w:rPr>
        <w:t>the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Economy</w:t>
      </w:r>
      <w:proofErr w:type="spellEnd"/>
      <w:r w:rsidRPr="004E4C6D">
        <w:rPr>
          <w:rFonts w:ascii="Invesco Interstate Light" w:hAnsi="Invesco Interstate Light"/>
        </w:rPr>
        <w:t xml:space="preserve">, na London </w:t>
      </w:r>
      <w:proofErr w:type="spellStart"/>
      <w:r w:rsidRPr="004E4C6D">
        <w:rPr>
          <w:rFonts w:ascii="Invesco Interstate Light" w:hAnsi="Invesco Interstate Light"/>
        </w:rPr>
        <w:t>School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of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Economics</w:t>
      </w:r>
      <w:proofErr w:type="spellEnd"/>
      <w:r w:rsidRPr="004E4C6D">
        <w:rPr>
          <w:rFonts w:ascii="Invesco Interstate Light" w:hAnsi="Invesco Interstate Light"/>
        </w:rPr>
        <w:t xml:space="preserve">, červenec 2020; A </w:t>
      </w:r>
      <w:proofErr w:type="spellStart"/>
      <w:r w:rsidRPr="004E4C6D">
        <w:rPr>
          <w:rFonts w:ascii="Invesco Interstate Light" w:hAnsi="Invesco Interstate Light"/>
        </w:rPr>
        <w:t>Millennium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of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Macroeconomic</w:t>
      </w:r>
      <w:proofErr w:type="spellEnd"/>
      <w:r w:rsidRPr="004E4C6D">
        <w:rPr>
          <w:rFonts w:ascii="Invesco Interstate Light" w:hAnsi="Invesco Interstate Light"/>
        </w:rPr>
        <w:t xml:space="preserve"> Data – </w:t>
      </w:r>
      <w:proofErr w:type="spellStart"/>
      <w:r w:rsidRPr="004E4C6D">
        <w:rPr>
          <w:rFonts w:ascii="Invesco Interstate Light" w:hAnsi="Invesco Interstate Light"/>
        </w:rPr>
        <w:t>the</w:t>
      </w:r>
      <w:proofErr w:type="spellEnd"/>
      <w:r w:rsidRPr="004E4C6D">
        <w:rPr>
          <w:rFonts w:ascii="Invesco Interstate Light" w:hAnsi="Invesco Interstate Light"/>
        </w:rPr>
        <w:t xml:space="preserve"> Bank </w:t>
      </w:r>
      <w:proofErr w:type="spellStart"/>
      <w:r w:rsidRPr="004E4C6D">
        <w:rPr>
          <w:rFonts w:ascii="Invesco Interstate Light" w:hAnsi="Invesco Interstate Light"/>
        </w:rPr>
        <w:t>of</w:t>
      </w:r>
      <w:proofErr w:type="spellEnd"/>
      <w:r w:rsidRPr="004E4C6D">
        <w:rPr>
          <w:rFonts w:ascii="Invesco Interstate Light" w:hAnsi="Invesco Interstate Light"/>
        </w:rPr>
        <w:t xml:space="preserve"> </w:t>
      </w:r>
      <w:proofErr w:type="spellStart"/>
      <w:r w:rsidRPr="004E4C6D">
        <w:rPr>
          <w:rFonts w:ascii="Invesco Interstate Light" w:hAnsi="Invesco Interstate Light"/>
        </w:rPr>
        <w:t>England</w:t>
      </w:r>
      <w:proofErr w:type="spellEnd"/>
      <w:r w:rsidRPr="004E4C6D">
        <w:rPr>
          <w:rFonts w:ascii="Invesco Interstate Light" w:hAnsi="Invesco Interstate Light"/>
        </w:rPr>
        <w:t xml:space="preserve">, FRED, </w:t>
      </w:r>
      <w:proofErr w:type="spellStart"/>
      <w:r w:rsidRPr="004E4C6D">
        <w:rPr>
          <w:rFonts w:ascii="Invesco Interstate Light" w:hAnsi="Invesco Interstate Light"/>
        </w:rPr>
        <w:t>Macrobond</w:t>
      </w:r>
      <w:proofErr w:type="spellEnd"/>
      <w:r w:rsidRPr="004E4C6D">
        <w:rPr>
          <w:rFonts w:ascii="Invesco Interstate Light" w:hAnsi="Invesco Interstate Light"/>
        </w:rPr>
        <w:t xml:space="preserve">, </w:t>
      </w:r>
      <w:proofErr w:type="spellStart"/>
      <w:r w:rsidRPr="004E4C6D">
        <w:rPr>
          <w:rFonts w:ascii="Invesco Interstate Light" w:hAnsi="Invesco Interstate Light"/>
        </w:rPr>
        <w:t>Invesco</w:t>
      </w:r>
      <w:proofErr w:type="spellEnd"/>
      <w:r w:rsidRPr="004E4C6D">
        <w:rPr>
          <w:rFonts w:ascii="Invesco Interstate Light" w:hAnsi="Invesco Interstate Light"/>
        </w:rPr>
        <w:t>. Data do roku 2016 stažena 30. listopadu 2021.</w:t>
      </w:r>
    </w:p>
    <w:p w14:paraId="571659E1" w14:textId="49B7688D" w:rsidR="004E4C6D" w:rsidRPr="006317A7" w:rsidRDefault="004E4C6D" w:rsidP="004E4C6D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lastRenderedPageBreak/>
        <w:t xml:space="preserve">Pandemie, války a trhy </w:t>
      </w:r>
      <w:r w:rsidRPr="004E4C6D">
        <w:rPr>
          <w:rFonts w:ascii="Invesco Interstate Bold" w:hAnsi="Invesco Interstate Bold"/>
          <w:b/>
          <w:bCs/>
          <w:sz w:val="24"/>
          <w:szCs w:val="24"/>
        </w:rPr>
        <w:t>– je to tentokrát jinak?</w:t>
      </w:r>
    </w:p>
    <w:p w14:paraId="01ACA3D9" w14:textId="77777777" w:rsidR="004E4C6D" w:rsidRDefault="004E4C6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E970290" w14:textId="5EAE183A" w:rsidR="004E4C6D" w:rsidRDefault="004E4C6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4E4C6D">
        <w:rPr>
          <w:rFonts w:ascii="Invesco Interstate Light" w:hAnsi="Invesco Interstate Light"/>
          <w:sz w:val="22"/>
          <w:szCs w:val="22"/>
        </w:rPr>
        <w:t>Jak se to všechno týká dnešní globální ekonomiky? Domníváme se, že existuje silný důvod, proč je tato doba jiná, pokud jde o pandemie i války.</w:t>
      </w:r>
    </w:p>
    <w:p w14:paraId="57E45497" w14:textId="6D8E17CB" w:rsidR="004E4C6D" w:rsidRDefault="004E4C6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F1AE132" w14:textId="34BB9569" w:rsidR="004E4C6D" w:rsidRDefault="004E4C6D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4E4C6D">
        <w:rPr>
          <w:rFonts w:ascii="Invesco Interstate Light" w:hAnsi="Invesco Interstate Light"/>
          <w:sz w:val="22"/>
          <w:szCs w:val="22"/>
        </w:rPr>
        <w:t>Při pandemii COVID-19 jsme se vyhnuli tradičnímu deflačnímu tlaku pandemií. Zachránili</w:t>
      </w:r>
      <w:r w:rsidRPr="00F30C15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4E4C6D">
        <w:rPr>
          <w:rFonts w:ascii="Invesco Interstate Light" w:hAnsi="Invesco Interstate Light"/>
          <w:sz w:val="22"/>
          <w:szCs w:val="22"/>
        </w:rPr>
        <w:t>jsme pracovní místa, nahradili příjem těm, kteří nemohli pracovat, a celkově udrželi ekonomiku nad vodou. Nebyli jsme svědky deflace, a pokud ano, tak spíš vysoké inflace.</w:t>
      </w:r>
    </w:p>
    <w:p w14:paraId="1B5FB6C3" w14:textId="41F3139B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5440710" w14:textId="1CA38273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162CD5">
        <w:rPr>
          <w:rFonts w:ascii="Invesco Interstate Light" w:hAnsi="Invesco Interstate Light"/>
          <w:sz w:val="22"/>
          <w:szCs w:val="22"/>
        </w:rPr>
        <w:t>Ve válce mezi Ruskem a Ukrajinou se dost možná rýsuje přerušení globálních dodávek energie, kovů a obilí. To vytváří tlak na růst inflace po celém světě. Zatěžuje to také růst tím, že zasahuje reálné příjmy a výdaje na jiné položky než energie a potraviny.</w:t>
      </w:r>
    </w:p>
    <w:p w14:paraId="47D043C7" w14:textId="1BC50682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1B455EA" w14:textId="77777777" w:rsidR="00162CD5" w:rsidRDefault="00162CD5" w:rsidP="00162CD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162CD5">
        <w:rPr>
          <w:rFonts w:ascii="Invesco Interstate Light" w:hAnsi="Invesco Interstate Light"/>
          <w:sz w:val="22"/>
          <w:szCs w:val="22"/>
        </w:rPr>
        <w:t>Kombinace sankcí s omezeními, nebo dokonce zničením vývozních kapacit, by mohla být podobná arabským a íránským ropným embargům z let 1973 a 1979. Tato embarga přispěla k vysoce inflační recesi.</w:t>
      </w:r>
    </w:p>
    <w:p w14:paraId="70975B33" w14:textId="2E50DF08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162CD5">
        <w:rPr>
          <w:rFonts w:ascii="Invesco Interstate Light" w:hAnsi="Invesco Interstate Light"/>
          <w:sz w:val="22"/>
          <w:szCs w:val="22"/>
        </w:rPr>
        <w:br/>
        <w:t>Lze si představit embargo Ruska na vývoz nebo dokonce embargo Západu na dovoz z Ruska. I kdyby nedošlo k úplnému přerušení dodávek, mohlo by to mít podobné důsledky jako válka v Perském zálivu v roce 1991. Tento konflikt vedl k výraznému zvýšení cen energií, které se časově shodovalo se zpomalením ekonomiky.</w:t>
      </w:r>
    </w:p>
    <w:p w14:paraId="10B20C20" w14:textId="1987DA47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52F35A8D" w14:textId="77777777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162CD5">
        <w:rPr>
          <w:rFonts w:ascii="Invesco Interstate Light" w:hAnsi="Invesco Interstate Light"/>
          <w:sz w:val="22"/>
          <w:szCs w:val="22"/>
        </w:rPr>
        <w:t>Případná stagflace by však měla být méně závažná než v 70. letech. Energetický šok bude pravděpodobně méně silný v USA, které jsou nyní blíže energetické soběstačnosti než Evropa. Je to proto, že Evropa je do značné míry závislá na ruském vývozu energie.</w:t>
      </w:r>
    </w:p>
    <w:p w14:paraId="74179321" w14:textId="77777777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38A44D9B" w14:textId="78FF59E3" w:rsidR="005B7F0D" w:rsidRPr="006317A7" w:rsidRDefault="00162CD5" w:rsidP="005B7F0D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162CD5">
        <w:rPr>
          <w:rFonts w:ascii="Invesco Interstate Light" w:hAnsi="Invesco Interstate Light"/>
          <w:sz w:val="22"/>
          <w:szCs w:val="22"/>
        </w:rPr>
        <w:t>Ceny potravin pravděpodobně také zaznamenají vážný tlak na růst, protože ceny měkkých komodit prudce rostou. Rusko i Ukrajina jsou hlavními vývozci pšenice a kukuřice pro Evropu, Afriku a velkou část Asie. Severní a Jižní Amerika jsou méně ohroženy, ale pravděpodobně by pocítily dopad třeba kvůli rostoucím cenám obilí.</w:t>
      </w:r>
      <w:r w:rsidRPr="00162CD5">
        <w:rPr>
          <w:rFonts w:ascii="Invesco Interstate Light" w:hAnsi="Invesco Interstate Light"/>
          <w:sz w:val="22"/>
          <w:szCs w:val="22"/>
        </w:rPr>
        <w:br/>
      </w:r>
      <w:r w:rsidRPr="00162CD5">
        <w:rPr>
          <w:rFonts w:ascii="Invesco Interstate Light" w:hAnsi="Invesco Interstate Light"/>
          <w:sz w:val="22"/>
          <w:szCs w:val="22"/>
        </w:rPr>
        <w:br/>
      </w:r>
      <w:r w:rsidR="005B7F0D">
        <w:rPr>
          <w:rFonts w:ascii="Invesco Interstate Bold" w:hAnsi="Invesco Interstate Bold"/>
          <w:b/>
          <w:bCs/>
          <w:sz w:val="24"/>
          <w:szCs w:val="24"/>
        </w:rPr>
        <w:t>Co má tedy investor za těchto okolností dělat</w:t>
      </w:r>
      <w:r w:rsidR="005B7F0D" w:rsidRPr="004E4C6D">
        <w:rPr>
          <w:rFonts w:ascii="Invesco Interstate Bold" w:hAnsi="Invesco Interstate Bold"/>
          <w:b/>
          <w:bCs/>
          <w:sz w:val="24"/>
          <w:szCs w:val="24"/>
        </w:rPr>
        <w:t>?</w:t>
      </w:r>
    </w:p>
    <w:p w14:paraId="0BCDA78B" w14:textId="77285A1D" w:rsidR="00162CD5" w:rsidRDefault="00162CD5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5091169D" w14:textId="77777777" w:rsidR="005B7F0D" w:rsidRPr="005B7F0D" w:rsidRDefault="005B7F0D" w:rsidP="005B7F0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5B7F0D">
        <w:rPr>
          <w:rFonts w:ascii="Invesco Interstate Light" w:hAnsi="Invesco Interstate Light"/>
          <w:sz w:val="22"/>
          <w:szCs w:val="22"/>
        </w:rPr>
        <w:t>Inflace stoupá, výnosy dluhopisů jsou proto nízké a mnohé tradičně "bezpečné" dluhopisy jsou drahé. Růst se může omezovat, v některých částech světové ekonomiky možná směřovat až k recesi, a ocenění mnoha akciových trhů je napjaté.</w:t>
      </w:r>
    </w:p>
    <w:p w14:paraId="62160617" w14:textId="416EBB99" w:rsidR="005B7F0D" w:rsidRDefault="005B7F0D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48A57B0A" w14:textId="77777777" w:rsidR="005B7F0D" w:rsidRPr="005B7F0D" w:rsidRDefault="005B7F0D" w:rsidP="005B7F0D">
      <w:pPr>
        <w:spacing w:line="240" w:lineRule="auto"/>
        <w:rPr>
          <w:rFonts w:ascii="Invesco Interstate Bold" w:hAnsi="Invesco Interstate Bold"/>
          <w:b/>
          <w:bCs/>
          <w:sz w:val="24"/>
          <w:szCs w:val="24"/>
        </w:rPr>
      </w:pPr>
      <w:r w:rsidRPr="005B7F0D">
        <w:rPr>
          <w:rFonts w:ascii="Invesco Interstate Bold" w:hAnsi="Invesco Interstate Bold"/>
          <w:b/>
          <w:bCs/>
          <w:sz w:val="24"/>
          <w:szCs w:val="24"/>
        </w:rPr>
        <w:t>Jak mohou investoři tyto výzvy zvládnout a dosáhnout výnosů, které odolají?</w:t>
      </w:r>
    </w:p>
    <w:p w14:paraId="501FA32A" w14:textId="4C8C3079" w:rsidR="005B7F0D" w:rsidRDefault="005B7F0D" w:rsidP="004E4C6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DBF7C56" w14:textId="23018B72" w:rsidR="005B7F0D" w:rsidRDefault="005B7F0D" w:rsidP="005B7F0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5B7F0D">
        <w:rPr>
          <w:rFonts w:ascii="Invesco Interstate Light" w:hAnsi="Invesco Interstate Light"/>
          <w:sz w:val="22"/>
          <w:szCs w:val="22"/>
        </w:rPr>
        <w:t>Rozdělili jsme údaje o výnosnosti napříč třídami aktiv během různých režimů růstu/inflace. Z tohoto výzkumu vyplývá, že nejlepším přístupem je kombinace aktiv, zahrnující i kombinaci dluhopisů, akcií a zlata.</w:t>
      </w:r>
    </w:p>
    <w:p w14:paraId="0D4F4CD7" w14:textId="36437EF7" w:rsidR="005B7F0D" w:rsidRDefault="005B7F0D" w:rsidP="005B7F0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7F24231" w14:textId="11D4A42B" w:rsidR="005B7F0D" w:rsidRPr="005B7F0D" w:rsidRDefault="005B7F0D" w:rsidP="005B7F0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5B7F0D">
        <w:rPr>
          <w:rFonts w:ascii="Invesco Interstate Light" w:hAnsi="Invesco Interstate Light"/>
          <w:sz w:val="22"/>
          <w:szCs w:val="22"/>
        </w:rPr>
        <w:t>Ceny komodit obvykle rostou v období vysoké inflace, takže by mělo pomoci vlastnictví akciových indexů, které jsou silně vystaveny komoditám. Prudký nárůst inflace v oblasti energií a potravin pravděpodobně zpomal</w:t>
      </w:r>
      <w:r>
        <w:rPr>
          <w:rFonts w:ascii="Invesco Interstate Light" w:hAnsi="Invesco Interstate Light"/>
          <w:sz w:val="22"/>
          <w:szCs w:val="22"/>
        </w:rPr>
        <w:t>í</w:t>
      </w:r>
      <w:r w:rsidRPr="005B7F0D">
        <w:rPr>
          <w:rFonts w:ascii="Invesco Interstate Light" w:hAnsi="Invesco Interstate Light"/>
          <w:sz w:val="22"/>
          <w:szCs w:val="22"/>
        </w:rPr>
        <w:t xml:space="preserve"> výdaje na ostatní položky, protože příjmy a kupní síla spotřebitelů se dostanou pod tlak. To posiluje argumenty ve prospěch pevně úročených, zejména vysoce kvalitních státních dluhopisů.</w:t>
      </w:r>
    </w:p>
    <w:p w14:paraId="566A9FAC" w14:textId="77777777" w:rsidR="005B7F0D" w:rsidRPr="005B7F0D" w:rsidRDefault="005B7F0D" w:rsidP="005B7F0D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49E47559" w14:textId="77777777" w:rsidR="00462335" w:rsidRPr="00462335" w:rsidRDefault="00462335" w:rsidP="0046233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462335">
        <w:rPr>
          <w:rFonts w:ascii="Invesco Interstate Light" w:hAnsi="Invesco Interstate Light"/>
          <w:sz w:val="22"/>
          <w:szCs w:val="22"/>
        </w:rPr>
        <w:t>Jak ukazuje obrázek 3, komodity a zlato dosahují lepších výsledků, když růst klesá, ale inflace roste. Jakmile však dojde k obnovení stability díky jejímu zpomalení a normalizace prostřednictvím oživení růstu, mají finanční aktiva tendenci dosahovat lepších výsledků.</w:t>
      </w:r>
    </w:p>
    <w:p w14:paraId="2A40924B" w14:textId="773AF733" w:rsidR="00462335" w:rsidRDefault="00462335" w:rsidP="00462335">
      <w:pPr>
        <w:spacing w:line="240" w:lineRule="auto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lastRenderedPageBreak/>
        <w:t>Obrázek 3: Anualizovaný čtvrtletní celkový výnos v % podle široké třídy aktiv v různých režimech růstu/inflace</w:t>
      </w:r>
    </w:p>
    <w:p w14:paraId="2C2A5D69" w14:textId="704E3E9D" w:rsidR="00462335" w:rsidRDefault="00462335" w:rsidP="00462335">
      <w:pPr>
        <w:spacing w:line="240" w:lineRule="auto"/>
        <w:rPr>
          <w:rFonts w:ascii="Invesco Interstate Bold" w:hAnsi="Invesco Interstate Bold"/>
          <w:b/>
          <w:bCs/>
          <w:sz w:val="24"/>
          <w:szCs w:val="24"/>
        </w:rPr>
      </w:pPr>
    </w:p>
    <w:p w14:paraId="04C4F317" w14:textId="69DFDB27" w:rsidR="00462335" w:rsidRDefault="00462335" w:rsidP="00462335">
      <w:pPr>
        <w:spacing w:line="240" w:lineRule="auto"/>
        <w:rPr>
          <w:rFonts w:ascii="Invesco Interstate Bold" w:hAnsi="Invesco Interstate Bold"/>
          <w:b/>
          <w:bCs/>
          <w:sz w:val="24"/>
          <w:szCs w:val="24"/>
        </w:rPr>
      </w:pPr>
      <w:r w:rsidRPr="00BA4BAA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5929490B" wp14:editId="1FE4085C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5C95" w14:textId="05D78BCF" w:rsidR="00462335" w:rsidRDefault="00462335" w:rsidP="00462335">
      <w:pPr>
        <w:spacing w:line="240" w:lineRule="auto"/>
        <w:rPr>
          <w:rFonts w:ascii="Invesco Interstate Bold" w:hAnsi="Invesco Interstate Bold"/>
          <w:b/>
          <w:bCs/>
          <w:sz w:val="24"/>
          <w:szCs w:val="24"/>
        </w:rPr>
      </w:pPr>
    </w:p>
    <w:p w14:paraId="031D8012" w14:textId="0BEDFCDC" w:rsidR="00462335" w:rsidRPr="000C6CF3" w:rsidRDefault="00462335" w:rsidP="00462335">
      <w:pPr>
        <w:spacing w:line="240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Poznámka: Počet pozorování změn růstu a inflace v každém čtvrtletí na ose X v letech 1950–2021 pro Spojené státy</w:t>
      </w:r>
    </w:p>
    <w:p w14:paraId="1DC6D203" w14:textId="306FF346" w:rsidR="00462335" w:rsidRDefault="00462335" w:rsidP="00462335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Zdroj: </w:t>
      </w:r>
      <w:proofErr w:type="spellStart"/>
      <w:r>
        <w:rPr>
          <w:rFonts w:ascii="Invesco Interstate Light" w:hAnsi="Invesco Interstate Light"/>
        </w:rPr>
        <w:t>Global</w:t>
      </w:r>
      <w:proofErr w:type="spellEnd"/>
      <w:r>
        <w:rPr>
          <w:rFonts w:ascii="Invesco Interstate Light" w:hAnsi="Invesco Interstate Light"/>
        </w:rPr>
        <w:t xml:space="preserve"> </w:t>
      </w:r>
      <w:proofErr w:type="spellStart"/>
      <w:r>
        <w:rPr>
          <w:rFonts w:ascii="Invesco Interstate Light" w:hAnsi="Invesco Interstate Light"/>
        </w:rPr>
        <w:t>Financial</w:t>
      </w:r>
      <w:proofErr w:type="spellEnd"/>
      <w:r>
        <w:rPr>
          <w:rFonts w:ascii="Invesco Interstate Light" w:hAnsi="Invesco Interstate Light"/>
        </w:rPr>
        <w:t xml:space="preserve"> </w:t>
      </w:r>
      <w:r w:rsidR="00075DE3">
        <w:rPr>
          <w:rFonts w:ascii="Invesco Interstate Light" w:hAnsi="Invesco Interstate Light"/>
        </w:rPr>
        <w:t xml:space="preserve">Data, </w:t>
      </w:r>
      <w:proofErr w:type="spellStart"/>
      <w:r w:rsidR="00075DE3">
        <w:rPr>
          <w:rFonts w:ascii="Invesco Interstate Light" w:hAnsi="Invesco Interstate Light"/>
        </w:rPr>
        <w:t>Invesco</w:t>
      </w:r>
      <w:proofErr w:type="spellEnd"/>
      <w:r w:rsidR="00075DE3">
        <w:rPr>
          <w:rFonts w:ascii="Invesco Interstate Light" w:hAnsi="Invesco Interstate Light"/>
        </w:rPr>
        <w:t>. Údaje k 28. únoru 2022.</w:t>
      </w:r>
    </w:p>
    <w:p w14:paraId="1560D01A" w14:textId="53AFB3DF" w:rsidR="00075DE3" w:rsidRDefault="00075DE3" w:rsidP="00075DE3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75DE3">
        <w:rPr>
          <w:rFonts w:ascii="Invesco Interstate Light" w:hAnsi="Invesco Interstate Light"/>
          <w:sz w:val="22"/>
          <w:szCs w:val="22"/>
        </w:rPr>
        <w:t>Podle našeho názoru by se rizikové expozice měly pravděpodobně spíše přesouvat než eliminovat, z epicentra krizí do regionů, které mají defenzivnější pozici. V tomto případě z Evropy, Blízkého východu a Afriky směrem k Americe a východní Asii. Měnové expozice by se mohly vychýlit směrem ke komoditním zemím (kromě Ruska, Ukrajiny) a také k bezpečným měnám, jako je dolar a jen.</w:t>
      </w:r>
    </w:p>
    <w:p w14:paraId="169461F5" w14:textId="77777777" w:rsidR="00075DE3" w:rsidRPr="00075DE3" w:rsidRDefault="00075DE3" w:rsidP="00075DE3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1E30E2BD" w14:textId="77777777" w:rsidR="00075DE3" w:rsidRDefault="00075DE3" w:rsidP="00075DE3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75DE3">
        <w:rPr>
          <w:rFonts w:ascii="Invesco Interstate Light" w:hAnsi="Invesco Interstate Light"/>
          <w:sz w:val="22"/>
          <w:szCs w:val="22"/>
        </w:rPr>
        <w:t>Rozvíjející se trhy (EM) jsou samozřejmě pod silným tlakem. V rámci EM jsou některé země více vystaveny dvojímu tlaku rostoucích cen komodit a silného dolaru.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075DE3">
        <w:rPr>
          <w:rFonts w:ascii="Invesco Interstate Light" w:hAnsi="Invesco Interstate Light"/>
          <w:sz w:val="22"/>
          <w:szCs w:val="22"/>
        </w:rPr>
        <w:t>Tyto země s dvojím deficitem, jako je Turecko a Indie, musí nakupovat energie, kovy a v mnoha případech i obilí. Zároveň musí své investiční nebo rozpočtové potřeby financovat alespoň částečně na světových, nikoli na domácích trzích.</w:t>
      </w:r>
      <w:r>
        <w:rPr>
          <w:rFonts w:ascii="Invesco Interstate Light" w:hAnsi="Invesco Interstate Light"/>
          <w:sz w:val="22"/>
          <w:szCs w:val="22"/>
        </w:rPr>
        <w:t xml:space="preserve"> </w:t>
      </w:r>
    </w:p>
    <w:p w14:paraId="7A889FD4" w14:textId="77777777" w:rsidR="00075DE3" w:rsidRDefault="00075DE3" w:rsidP="00075DE3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37FDBCAE" w14:textId="516AA87D" w:rsidR="00075DE3" w:rsidRPr="00075DE3" w:rsidRDefault="00075DE3" w:rsidP="00075DE3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075DE3">
        <w:rPr>
          <w:rFonts w:ascii="Invesco Interstate Bold" w:hAnsi="Invesco Interstate Bold"/>
          <w:b/>
          <w:bCs/>
          <w:sz w:val="24"/>
          <w:szCs w:val="24"/>
        </w:rPr>
        <w:t>Pevný výnos zůstává v těchto obdobích volatility klíčovou součástí portfolia</w:t>
      </w:r>
    </w:p>
    <w:p w14:paraId="19808A7A" w14:textId="77777777" w:rsidR="00075DE3" w:rsidRDefault="00075DE3" w:rsidP="00075DE3">
      <w:pPr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716FD0DD" w14:textId="48E4FC99" w:rsidR="00075DE3" w:rsidRDefault="00075DE3" w:rsidP="00972E6E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075DE3">
        <w:rPr>
          <w:rFonts w:ascii="Invesco Interstate Light" w:hAnsi="Invesco Interstate Light"/>
          <w:sz w:val="22"/>
          <w:szCs w:val="22"/>
        </w:rPr>
        <w:t>Téměř za žádných okolností bychom se nebránili výraznému odklonu od nástrojů s pevným výnosem. To proto, že riziko a nejistota jsou fakta života.</w:t>
      </w:r>
    </w:p>
    <w:p w14:paraId="13BB5D17" w14:textId="77777777" w:rsidR="00075DE3" w:rsidRPr="00075DE3" w:rsidRDefault="00075DE3" w:rsidP="00075DE3">
      <w:pPr>
        <w:jc w:val="both"/>
        <w:rPr>
          <w:rFonts w:ascii="Invesco Interstate Light" w:hAnsi="Invesco Interstate Light"/>
          <w:sz w:val="22"/>
          <w:szCs w:val="22"/>
        </w:rPr>
      </w:pPr>
    </w:p>
    <w:p w14:paraId="51E7957D" w14:textId="7B9AE6BB" w:rsidR="00075DE3" w:rsidRDefault="00075DE3" w:rsidP="00972E6E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075DE3">
        <w:rPr>
          <w:rFonts w:ascii="Invesco Interstate Light" w:hAnsi="Invesco Interstate Light"/>
          <w:sz w:val="22"/>
          <w:szCs w:val="22"/>
        </w:rPr>
        <w:t xml:space="preserve">Eskalace konfliktu mezi Ruskem a Ukrajinou ukazuje na averzi k riziku, vyšší ceny komodit i potenciálně nižší růst. Pokud by došlo ke stagflaci, některé dluhopisy by ze zpomalení těžily, zatímco jiné by trpěly vyšší inflací.  Ve skutečnosti by některé korporátní dluhopisy mohly těžit z vyšších cen komodit, zatímco u jiných, které by </w:t>
      </w:r>
      <w:r w:rsidRPr="00075DE3">
        <w:rPr>
          <w:rFonts w:ascii="Invesco Interstate Light" w:hAnsi="Invesco Interstate Light"/>
          <w:sz w:val="22"/>
          <w:szCs w:val="22"/>
        </w:rPr>
        <w:lastRenderedPageBreak/>
        <w:t>byly postiženy ztrátou korporátních příjmů, by rizikové prémie vzrostly. Stejně tak budou některé země těžit ze silnějšího vývozu a silnějších měn než jiné.</w:t>
      </w:r>
    </w:p>
    <w:p w14:paraId="00928D06" w14:textId="77777777" w:rsidR="00972E6E" w:rsidRPr="00075DE3" w:rsidRDefault="00972E6E" w:rsidP="00972E6E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54ADC62D" w14:textId="0199D004" w:rsidR="008E6B91" w:rsidRDefault="00972E6E" w:rsidP="008E6B91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  <w:r w:rsidRPr="00972E6E">
        <w:rPr>
          <w:rFonts w:ascii="Invesco Interstate Light" w:hAnsi="Invesco Interstate Light"/>
          <w:i/>
          <w:iCs/>
          <w:sz w:val="22"/>
          <w:szCs w:val="22"/>
        </w:rPr>
        <w:t>„Domníváme se, že odklon od dluhopisů by měl ale smysl pouze v případě, že by se projevila řada faktorů,“</w:t>
      </w:r>
      <w:r w:rsidRPr="00972E6E">
        <w:rPr>
          <w:rFonts w:ascii="Invesco Interstate Light" w:hAnsi="Invesco Interstate Light"/>
          <w:sz w:val="22"/>
          <w:szCs w:val="22"/>
        </w:rPr>
        <w:t xml:space="preserve"> vysvětluje </w:t>
      </w:r>
      <w:proofErr w:type="spellStart"/>
      <w:r w:rsidRPr="00972E6E">
        <w:rPr>
          <w:rFonts w:ascii="Invesco Interstate Light" w:hAnsi="Invesco Interstate Light"/>
          <w:sz w:val="22"/>
          <w:szCs w:val="22"/>
        </w:rPr>
        <w:t>Arnab</w:t>
      </w:r>
      <w:proofErr w:type="spellEnd"/>
      <w:r w:rsidRPr="00972E6E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972E6E">
        <w:rPr>
          <w:rFonts w:ascii="Invesco Interstate Light" w:hAnsi="Invesco Interstate Light"/>
          <w:sz w:val="22"/>
          <w:szCs w:val="22"/>
        </w:rPr>
        <w:t>Das</w:t>
      </w:r>
      <w:proofErr w:type="spellEnd"/>
      <w:r w:rsidRPr="00972E6E">
        <w:rPr>
          <w:rFonts w:ascii="Invesco Interstate Light" w:hAnsi="Invesco Interstate Light"/>
          <w:sz w:val="22"/>
          <w:szCs w:val="22"/>
        </w:rPr>
        <w:t xml:space="preserve"> a dále faktory jmenuje:</w:t>
      </w:r>
      <w:r w:rsidR="00094F1E">
        <w:rPr>
          <w:rFonts w:ascii="Invesco Interstate Light" w:hAnsi="Invesco Interstate Light"/>
          <w:i/>
          <w:iCs/>
          <w:sz w:val="22"/>
          <w:szCs w:val="22"/>
        </w:rPr>
        <w:t xml:space="preserve"> „</w:t>
      </w:r>
      <w:r w:rsidRPr="00972E6E">
        <w:rPr>
          <w:rFonts w:ascii="Invesco Interstate Light" w:hAnsi="Invesco Interstate Light"/>
          <w:i/>
          <w:iCs/>
          <w:sz w:val="22"/>
          <w:szCs w:val="22"/>
        </w:rPr>
        <w:t>Pokud by dnešní ultra nízké výnosy dluhopisů byly doprovázeny růžovou vizí stoupající růstu</w:t>
      </w:r>
      <w:r w:rsidR="001004E7">
        <w:rPr>
          <w:rFonts w:ascii="Invesco Interstate Light" w:hAnsi="Invesco Interstate Light"/>
          <w:i/>
          <w:iCs/>
          <w:sz w:val="22"/>
          <w:szCs w:val="22"/>
        </w:rPr>
        <w:t xml:space="preserve"> byla by inflace mírnější. </w:t>
      </w:r>
      <w:r w:rsidR="008E6B91">
        <w:rPr>
          <w:rFonts w:ascii="Invesco Interstate Light" w:hAnsi="Invesco Interstate Light"/>
          <w:i/>
          <w:iCs/>
          <w:sz w:val="22"/>
          <w:szCs w:val="22"/>
        </w:rPr>
        <w:t xml:space="preserve">A právě </w:t>
      </w:r>
      <w:r w:rsidR="00094F1E" w:rsidRPr="00094F1E">
        <w:rPr>
          <w:rFonts w:ascii="Invesco Interstate Light" w:hAnsi="Invesco Interstate Light"/>
          <w:i/>
          <w:iCs/>
          <w:sz w:val="22"/>
          <w:szCs w:val="22"/>
        </w:rPr>
        <w:t>mírnější</w:t>
      </w:r>
      <w:r w:rsidR="008E6B91">
        <w:rPr>
          <w:rFonts w:ascii="Invesco Interstate Light" w:hAnsi="Invesco Interstate Light"/>
          <w:i/>
          <w:iCs/>
          <w:sz w:val="22"/>
          <w:szCs w:val="22"/>
        </w:rPr>
        <w:t xml:space="preserve"> inflace je jedním z faktorů</w:t>
      </w:r>
      <w:r w:rsidR="00094F1E" w:rsidRPr="00094F1E">
        <w:rPr>
          <w:rFonts w:ascii="Invesco Interstate Light" w:hAnsi="Invesco Interstate Light"/>
          <w:i/>
          <w:iCs/>
          <w:sz w:val="22"/>
          <w:szCs w:val="22"/>
        </w:rPr>
        <w:t>.</w:t>
      </w:r>
      <w:r w:rsidR="00094F1E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  <w:i/>
          <w:iCs/>
          <w:sz w:val="22"/>
          <w:szCs w:val="22"/>
        </w:rPr>
        <w:t>Dalším možným faktorem je, p</w:t>
      </w:r>
      <w:r w:rsidR="00094F1E" w:rsidRPr="00094F1E">
        <w:rPr>
          <w:rFonts w:ascii="Invesco Interstate Light" w:hAnsi="Invesco Interstate Light"/>
          <w:i/>
          <w:iCs/>
          <w:sz w:val="22"/>
          <w:szCs w:val="22"/>
        </w:rPr>
        <w:t>okud by došlo k všeobecné ekonomické a politické normalizaci</w:t>
      </w:r>
      <w:r w:rsidR="008E6B91">
        <w:rPr>
          <w:rFonts w:ascii="Invesco Interstate Light" w:hAnsi="Invesco Interstate Light"/>
          <w:i/>
          <w:iCs/>
          <w:sz w:val="22"/>
          <w:szCs w:val="22"/>
        </w:rPr>
        <w:t>“.</w:t>
      </w:r>
    </w:p>
    <w:p w14:paraId="5BAE4D9E" w14:textId="77777777" w:rsidR="008E6B91" w:rsidRDefault="008E6B91" w:rsidP="008E6B91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</w:p>
    <w:p w14:paraId="392C6DE5" w14:textId="04CDE2DA" w:rsidR="005B7F0D" w:rsidRPr="008E6B91" w:rsidRDefault="00094F1E" w:rsidP="008E6B91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  <w:r w:rsidRPr="00094F1E">
        <w:rPr>
          <w:rFonts w:ascii="Invesco Interstate Light" w:hAnsi="Invesco Interstate Light"/>
          <w:i/>
          <w:iCs/>
          <w:sz w:val="22"/>
          <w:szCs w:val="22"/>
        </w:rPr>
        <w:t>V dnešním světě panuje nejistota, ale je zde naděje na případné zlepšení podmínek. Proto se domníváme, že je zapotřebí lepší rovnováhy než koncentrace v hotovosti nebo rizikových aktivech.“</w:t>
      </w:r>
    </w:p>
    <w:p w14:paraId="7F33B902" w14:textId="77777777" w:rsidR="004E4C6D" w:rsidRPr="004E4C6D" w:rsidRDefault="004E4C6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1D4AF71" w14:textId="77777777" w:rsidR="00643FD9" w:rsidRDefault="00643FD9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A8FE128" w14:textId="77777777" w:rsidR="00643FD9" w:rsidRDefault="00643FD9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FB95373" w14:textId="77777777" w:rsidR="00643FD9" w:rsidRDefault="00643FD9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br w:type="page"/>
      </w:r>
    </w:p>
    <w:p w14:paraId="7C334F37" w14:textId="5CBD92E5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lastRenderedPageBreak/>
        <w:t>Varování před riziky</w:t>
      </w:r>
    </w:p>
    <w:p w14:paraId="354CEEEE" w14:textId="77777777" w:rsidR="007545D3" w:rsidRDefault="007545D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62BB7FCC" w14:textId="43F4B186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12AB60B" w14:textId="4279F2D8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b/>
          <w:bCs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b/>
          <w:bCs/>
          <w:color w:val="000000" w:themeColor="text1"/>
          <w:sz w:val="22"/>
          <w:szCs w:val="22"/>
        </w:rPr>
        <w:t>Důležité informace</w:t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ACE74D0" w14:textId="574FB08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4B52FAE8" w14:textId="2B77284B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</w:p>
    <w:p w14:paraId="28F600F3" w14:textId="48F955F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Crest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+ 420 720 406 659</w:t>
      </w:r>
    </w:p>
    <w:p w14:paraId="4267CA9A" w14:textId="77777777" w:rsidR="002355DD" w:rsidRDefault="00F53319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 w:rsidR="002355DD"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4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5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C480" w14:textId="77777777" w:rsidR="00F53319" w:rsidRDefault="00F53319">
      <w:r>
        <w:separator/>
      </w:r>
    </w:p>
  </w:endnote>
  <w:endnote w:type="continuationSeparator" w:id="0">
    <w:p w14:paraId="69943750" w14:textId="77777777" w:rsidR="00F53319" w:rsidRDefault="00F53319">
      <w:r>
        <w:continuationSeparator/>
      </w:r>
    </w:p>
  </w:endnote>
  <w:endnote w:type="continuationNotice" w:id="1">
    <w:p w14:paraId="7FB98827" w14:textId="77777777" w:rsidR="00F53319" w:rsidRDefault="00F53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E0ED" w14:textId="77777777" w:rsidR="00F53319" w:rsidRDefault="00F53319">
      <w:r>
        <w:separator/>
      </w:r>
    </w:p>
  </w:footnote>
  <w:footnote w:type="continuationSeparator" w:id="0">
    <w:p w14:paraId="422ADEE8" w14:textId="77777777" w:rsidR="00F53319" w:rsidRDefault="00F53319">
      <w:r>
        <w:continuationSeparator/>
      </w:r>
    </w:p>
  </w:footnote>
  <w:footnote w:type="continuationNotice" w:id="1">
    <w:p w14:paraId="498DFD5B" w14:textId="77777777" w:rsidR="00F53319" w:rsidRDefault="00F53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D70"/>
    <w:multiLevelType w:val="multilevel"/>
    <w:tmpl w:val="11820CCE"/>
    <w:numStyleLink w:val="FormatvorlageAufgezhlt"/>
  </w:abstractNum>
  <w:abstractNum w:abstractNumId="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B23"/>
    <w:multiLevelType w:val="multilevel"/>
    <w:tmpl w:val="11820CCE"/>
    <w:numStyleLink w:val="FormatvorlageAufgezhlt"/>
  </w:abstractNum>
  <w:abstractNum w:abstractNumId="8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03C3"/>
    <w:multiLevelType w:val="multilevel"/>
    <w:tmpl w:val="11820CCE"/>
    <w:numStyleLink w:val="FormatvorlageAufgezhlt"/>
  </w:abstractNum>
  <w:abstractNum w:abstractNumId="11" w15:restartNumberingAfterBreak="0">
    <w:nsid w:val="6C6C4721"/>
    <w:multiLevelType w:val="multilevel"/>
    <w:tmpl w:val="11820CCE"/>
    <w:numStyleLink w:val="FormatvorlageAufgezhlt"/>
  </w:abstractNum>
  <w:abstractNum w:abstractNumId="12" w15:restartNumberingAfterBreak="0">
    <w:nsid w:val="74E5380B"/>
    <w:multiLevelType w:val="multilevel"/>
    <w:tmpl w:val="11820CCE"/>
    <w:numStyleLink w:val="FormatvorlageAufgezhlt"/>
  </w:abstractNum>
  <w:abstractNum w:abstractNumId="1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3462">
    <w:abstractNumId w:val="0"/>
  </w:num>
  <w:num w:numId="2" w16cid:durableId="975991617">
    <w:abstractNumId w:val="5"/>
  </w:num>
  <w:num w:numId="3" w16cid:durableId="1209563344">
    <w:abstractNumId w:val="9"/>
  </w:num>
  <w:num w:numId="4" w16cid:durableId="1040399763">
    <w:abstractNumId w:val="6"/>
  </w:num>
  <w:num w:numId="5" w16cid:durableId="429742845">
    <w:abstractNumId w:val="7"/>
  </w:num>
  <w:num w:numId="6" w16cid:durableId="2035761359">
    <w:abstractNumId w:val="10"/>
  </w:num>
  <w:num w:numId="7" w16cid:durableId="743642997">
    <w:abstractNumId w:val="11"/>
  </w:num>
  <w:num w:numId="8" w16cid:durableId="485557505">
    <w:abstractNumId w:val="1"/>
  </w:num>
  <w:num w:numId="9" w16cid:durableId="1763378828">
    <w:abstractNumId w:val="12"/>
  </w:num>
  <w:num w:numId="10" w16cid:durableId="1827159705">
    <w:abstractNumId w:val="4"/>
  </w:num>
  <w:num w:numId="11" w16cid:durableId="2041470754">
    <w:abstractNumId w:val="2"/>
  </w:num>
  <w:num w:numId="12" w16cid:durableId="1662272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35470">
    <w:abstractNumId w:val="13"/>
  </w:num>
  <w:num w:numId="14" w16cid:durableId="906690785">
    <w:abstractNumId w:val="14"/>
  </w:num>
  <w:num w:numId="15" w16cid:durableId="211027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AE6"/>
    <w:rsid w:val="006268D0"/>
    <w:rsid w:val="00627E84"/>
    <w:rsid w:val="00630480"/>
    <w:rsid w:val="00630D0F"/>
    <w:rsid w:val="006317A7"/>
    <w:rsid w:val="00632AF8"/>
    <w:rsid w:val="00633022"/>
    <w:rsid w:val="006337A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ska.kroh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Eliška Krohová</cp:lastModifiedBy>
  <cp:revision>2</cp:revision>
  <cp:lastPrinted>2021-02-17T20:24:00Z</cp:lastPrinted>
  <dcterms:created xsi:type="dcterms:W3CDTF">2022-04-26T13:09:00Z</dcterms:created>
  <dcterms:modified xsi:type="dcterms:W3CDTF">2022-04-26T13:09:00Z</dcterms:modified>
</cp:coreProperties>
</file>